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autoSpaceDE/>
        <w:autoSpaceDN/>
        <w:bidi w:val="0"/>
        <w:spacing w:line="560" w:lineRule="exact"/>
        <w:ind w:right="0" w:rightChars="0"/>
        <w:jc w:val="center"/>
        <w:rPr>
          <w:rFonts w:hint="default" w:ascii="Times New Roman" w:hAnsi="Times New Roman" w:eastAsia="仿宋_GB2312" w:cs="Times New Roman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60" w:lineRule="exact"/>
        <w:ind w:right="0" w:rightChars="0"/>
        <w:jc w:val="center"/>
        <w:rPr>
          <w:rFonts w:hint="default" w:ascii="Times New Roman" w:hAnsi="Times New Roman" w:eastAsia="仿宋_GB2312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忠经信发〔202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67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号</w:t>
      </w:r>
    </w:p>
    <w:p>
      <w:pPr>
        <w:pStyle w:val="4"/>
        <w:keepNext w:val="0"/>
        <w:keepLines w:val="0"/>
        <w:pageBreakBefore w:val="0"/>
        <w:wordWrap/>
        <w:topLinePunct w:val="0"/>
        <w:autoSpaceDE/>
        <w:autoSpaceDN/>
        <w:bidi w:val="0"/>
        <w:spacing w:after="0" w:line="570" w:lineRule="exact"/>
        <w:ind w:right="0" w:rightChars="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忠县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经济和信息化委员会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关于转发《重庆市经济和信息化委员会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&lt;关于印发全市工业企业疫情防控工作规范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（第一版）的通知&gt;》的通知</w:t>
      </w:r>
    </w:p>
    <w:p>
      <w:pPr>
        <w:pStyle w:val="6"/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6"/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各乡镇人民政府，各街道办事处，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机关各科室，有关企业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现将《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重庆市经济和信息化委员会 &lt;关于印发全市工业企业疫情防控工作规范（第一版）的通知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&gt;》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转发给你们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，请认真学习，抓好贯彻执行。              </w:t>
      </w:r>
    </w:p>
    <w:p>
      <w:pPr>
        <w:pStyle w:val="6"/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</w:t>
      </w:r>
    </w:p>
    <w:p>
      <w:pPr>
        <w:pStyle w:val="6"/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忠县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经济和信息化委员会</w:t>
      </w:r>
    </w:p>
    <w:p>
      <w:pPr>
        <w:pStyle w:val="6"/>
        <w:keepNext w:val="0"/>
        <w:keepLines w:val="0"/>
        <w:pageBreakBefore w:val="0"/>
        <w:wordWrap/>
        <w:topLinePunct w:val="0"/>
        <w:autoSpaceDE/>
        <w:autoSpaceDN/>
        <w:bidi w:val="0"/>
        <w:spacing w:line="57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64" w:gutter="0"/>
          <w:cols w:space="720" w:num="1"/>
          <w:docGrid w:type="lines" w:linePitch="319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Lines="0" w:line="570" w:lineRule="exact"/>
        <w:jc w:val="center"/>
        <w:textAlignment w:val="auto"/>
        <w:rPr>
          <w:rFonts w:hint="eastAsia" w:ascii="Times New Roman" w:hAnsi="Times New Roman" w:eastAsia="方正小标宋_GBK" w:cs="黑体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黑体"/>
          <w:kern w:val="0"/>
          <w:sz w:val="44"/>
          <w:szCs w:val="44"/>
        </w:rPr>
        <w:t>重庆市经济和信息化委员会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黑体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黑体"/>
          <w:kern w:val="0"/>
          <w:sz w:val="44"/>
          <w:szCs w:val="44"/>
        </w:rPr>
        <w:t>关于印发全市工业企业疫情防控工作规范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黑体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黑体"/>
          <w:kern w:val="0"/>
          <w:sz w:val="44"/>
          <w:szCs w:val="44"/>
        </w:rPr>
        <w:t>（第一版）的通知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渝经信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〔2022〕</w:t>
      </w:r>
      <w:r>
        <w:rPr>
          <w:rFonts w:hint="eastAsia" w:ascii="Times New Roman" w:hAnsi="Times New Roman" w:eastAsia="方正仿宋_GBK" w:cs="Times New Roman"/>
          <w:color w:val="333333"/>
          <w:sz w:val="32"/>
          <w:szCs w:val="32"/>
          <w:lang w:val="en-US" w:eastAsia="zh-CN"/>
        </w:rPr>
        <w:t>81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号 </w:t>
      </w:r>
    </w:p>
    <w:p>
      <w:pPr>
        <w:pStyle w:val="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各区县（自治县）经济信息委，两江新区、西部科学城重庆高新区、万盛经开区经信部门：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为进一步指导工业企业做好新型冠状病毒肺炎防控工作，市经济信息委在认真梳理市疫情防控工作领导小组（指挥部）要求的基础上，结合工业企业实际情况，制定了全市工业企业疫情防控工作规范（第一版）。现印发给你们，请及时发送辖区工业企业并认真组织实施。各单位在执行过程中如有相关建议，请及时反馈市经济信息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重庆市经济和信息化委员会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0" w:firstLineChars="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2022年10月26日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70" w:lineRule="exact"/>
        <w:ind w:left="0" w:right="0" w:firstLine="64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C0C0C"/>
          <w:kern w:val="0"/>
          <w:sz w:val="44"/>
          <w:szCs w:val="44"/>
          <w:highlight w:val="none"/>
          <w:lang w:val="en-US" w:eastAsia="zh-CN" w:bidi="ar"/>
        </w:rPr>
        <w:sectPr>
          <w:footerReference r:id="rId5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0" w:firstLineChars="0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全市工业企业疫情防控工作规范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  <w:sz w:val="32"/>
          <w:szCs w:val="22"/>
        </w:rPr>
      </w:pPr>
      <w:r>
        <w:rPr>
          <w:rFonts w:hint="eastAsia" w:ascii="方正楷体_GBK" w:hAnsi="方正楷体_GBK" w:eastAsia="方正楷体_GBK" w:cs="方正楷体_GBK"/>
          <w:sz w:val="32"/>
          <w:szCs w:val="22"/>
        </w:rPr>
        <w:t>（第一版）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0" w:firstLineChars="0"/>
        <w:jc w:val="lef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sz w:val="32"/>
          <w:szCs w:val="22"/>
        </w:rPr>
        <w:t>为指导工业企业做好新型冠状病毒肺炎（以下简称新冠肺炎）疫情防控工作，全面落实</w:t>
      </w:r>
      <w:r>
        <w:rPr>
          <w:rFonts w:hint="eastAsia" w:ascii="Times New Roman" w:hAnsi="Times New Roman" w:eastAsia="方正仿宋_GBK" w:cs="Times New Roman"/>
          <w:sz w:val="32"/>
          <w:szCs w:val="2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2"/>
        </w:rPr>
        <w:t>外防输入、内防反弹</w:t>
      </w:r>
      <w:r>
        <w:rPr>
          <w:rFonts w:hint="eastAsia" w:ascii="Times New Roman" w:hAnsi="Times New Roman" w:eastAsia="方正仿宋_GBK" w:cs="Times New Roman"/>
          <w:sz w:val="32"/>
          <w:szCs w:val="2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2"/>
        </w:rPr>
        <w:t>总策略和</w:t>
      </w:r>
      <w:r>
        <w:rPr>
          <w:rFonts w:hint="eastAsia" w:ascii="Times New Roman" w:hAnsi="Times New Roman" w:eastAsia="方正仿宋_GBK" w:cs="Times New Roman"/>
          <w:sz w:val="32"/>
          <w:szCs w:val="2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2"/>
        </w:rPr>
        <w:t>动态清零</w:t>
      </w:r>
      <w:r>
        <w:rPr>
          <w:rFonts w:hint="eastAsia" w:ascii="Times New Roman" w:hAnsi="Times New Roman" w:eastAsia="方正仿宋_GBK" w:cs="Times New Roman"/>
          <w:sz w:val="32"/>
          <w:szCs w:val="2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2"/>
        </w:rPr>
        <w:t>总方针，根据市疫情防控工作领导小组（指挥部）对新冠肺炎疫情防控的要求，结合我市工业企业实际情况，制定本规范。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组织体制要求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企业要建立疫情防控工作组，企业主要负责人任组长，企业分管负责人任副组长，涉及企业卫生、安全、后勤等部门负责人为成员，落实至少1名企业卫生防疫人员。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编制企业疫情防控方案。包括企业常态化防控措施</w:t>
      </w:r>
      <w:r>
        <w:rPr>
          <w:rFonts w:hint="default" w:ascii="Times New Roman" w:hAnsi="Times New Roman" w:eastAsia="方正仿宋_GBK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</w:rPr>
        <w:t>应急处置方案</w:t>
      </w:r>
      <w:r>
        <w:rPr>
          <w:rFonts w:hint="default" w:ascii="Times New Roman" w:hAnsi="Times New Roman" w:eastAsia="方正仿宋_GBK" w:cs="Times New Roman"/>
          <w:lang w:eastAsia="zh-CN"/>
        </w:rPr>
        <w:t>、</w:t>
      </w:r>
      <w:r>
        <w:rPr>
          <w:rFonts w:hint="default" w:ascii="Times New Roman" w:hAnsi="Times New Roman" w:eastAsia="方正仿宋_GBK" w:cs="Times New Roman"/>
        </w:rPr>
        <w:t>防疫物资储备</w:t>
      </w:r>
      <w:r>
        <w:rPr>
          <w:rFonts w:hint="default" w:ascii="Times New Roman" w:hAnsi="Times New Roman" w:eastAsia="方正仿宋_GBK" w:cs="Times New Roman"/>
          <w:lang w:eastAsia="zh-CN"/>
        </w:rPr>
        <w:t>、</w:t>
      </w:r>
      <w:r>
        <w:rPr>
          <w:rFonts w:hint="default" w:ascii="Times New Roman" w:hAnsi="Times New Roman" w:eastAsia="方正仿宋_GBK" w:cs="Times New Roman"/>
        </w:rPr>
        <w:t>临时隔离场所设置等相关防疫内容。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常态化疫情防控要求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sz w:val="32"/>
          <w:szCs w:val="22"/>
        </w:rPr>
        <w:t>严格落实市疫情防控工作领导小组（指挥部）常态化防疫要求。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企业门岗安排专人查验健康码、行程码，检查核酸检测结果，测试体温，门岗检查人员应规范佩戴口罩，装备测温仪器，配置消毒液、口罩等防疫物资，及时下载当日重点地区健康管理措施要求。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进入企业人员应严格落实查验健康码、行程码，按属地疫情防控工作领导小组（指挥部）要求检查核酸检测结果，测试体温；按照公众和重点职业人群戴口罩指引要求规范佩戴口罩。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企业来渝返渝人员严格按照我市健康管理规定扫</w:t>
      </w:r>
      <w:r>
        <w:rPr>
          <w:rFonts w:hint="eastAsia" w:ascii="Times New Roman" w:hAnsi="Times New Roman" w:eastAsia="方正仿宋_GBK" w:cs="Times New Roman"/>
          <w:lang w:eastAsia="zh-CN"/>
        </w:rPr>
        <w:t>“</w:t>
      </w:r>
      <w:r>
        <w:rPr>
          <w:rFonts w:hint="default" w:ascii="Times New Roman" w:hAnsi="Times New Roman" w:eastAsia="方正仿宋_GBK" w:cs="Times New Roman"/>
        </w:rPr>
        <w:t>入渝码</w:t>
      </w:r>
      <w:r>
        <w:rPr>
          <w:rFonts w:hint="eastAsia" w:ascii="Times New Roman" w:hAnsi="Times New Roman" w:eastAsia="方正仿宋_GBK" w:cs="Times New Roman"/>
          <w:lang w:eastAsia="zh-CN"/>
        </w:rPr>
        <w:t>”</w:t>
      </w:r>
      <w:r>
        <w:rPr>
          <w:rFonts w:hint="default" w:ascii="Times New Roman" w:hAnsi="Times New Roman" w:eastAsia="方正仿宋_GBK" w:cs="Times New Roman"/>
        </w:rPr>
        <w:t>，做好社区信息申报。企业要建立外来人员台账，如实登记人员信息，有条件的企业可建立信息化系统，实现预约登记进入企业。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加强市外物流运输车辆管理。提前通知市外物流运输车辆遵守我市防疫规定，进入企业对驾驶员查健康码、验行程码、扫场所码，对车辆进行消杀后再装卸货物，驾驶员不参与装卸货物；有条件的可设置专用的市外来渝车辆停靠场地和驾驶员停留区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做好场所消毒。对企业人员密集型场所，如生产车间、会议室、食堂、宿舍、电梯等，按防疫消毒要求做好定期消杀；对人员频繁接触的部位（如扶手、按钮）提高消毒频次。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做好防疫物资储备。储备足量的口罩、消毒液、防护服、测温仪器等防疫物资，及时更新过期物资。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做好宣传培训。企业应定期对员工进行防疫知识的培训，传达最新防疫政策；在企业张贴防疫宣传海报；在进入企业的入口张贴健康码、场所码等标识。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开展防疫应急演练。结合企业实际情况，开展突发疫情演练，确保企业防疫人员掌握相关流程。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严格控制聚集性活动。坚持非必要不举办、能线上的不线下的原则。2</w:t>
      </w:r>
      <w:r>
        <w:rPr>
          <w:rFonts w:ascii="Times New Roman" w:hAnsi="Times New Roman" w:eastAsia="方正仿宋_GBK" w:cs="Times New Roman"/>
        </w:rPr>
        <w:t>022</w:t>
      </w:r>
      <w:r>
        <w:rPr>
          <w:rFonts w:hint="default" w:ascii="Times New Roman" w:hAnsi="Times New Roman" w:eastAsia="方正仿宋_GBK" w:cs="Times New Roman"/>
        </w:rPr>
        <w:t>年10 月底前原则上不安排大型会议、培训、会展、文艺演出等聚集性活动。确需举办的，需严格按照审批程序报行业主管部门、属地疫情防控工作领导小组（指挥部）审批，按照</w:t>
      </w:r>
      <w:r>
        <w:rPr>
          <w:rFonts w:hint="eastAsia" w:ascii="Times New Roman" w:hAnsi="Times New Roman" w:eastAsia="方正仿宋_GBK" w:cs="Times New Roman"/>
          <w:lang w:eastAsia="zh-CN"/>
        </w:rPr>
        <w:t>“</w:t>
      </w:r>
      <w:r>
        <w:rPr>
          <w:rFonts w:hint="default" w:ascii="Times New Roman" w:hAnsi="Times New Roman" w:eastAsia="方正仿宋_GBK" w:cs="Times New Roman"/>
        </w:rPr>
        <w:t>谁审批、谁负责</w:t>
      </w:r>
      <w:r>
        <w:rPr>
          <w:rFonts w:hint="eastAsia" w:ascii="Times New Roman" w:hAnsi="Times New Roman" w:eastAsia="方正仿宋_GBK" w:cs="Times New Roman"/>
          <w:lang w:eastAsia="zh-CN"/>
        </w:rPr>
        <w:t>”“</w:t>
      </w:r>
      <w:r>
        <w:rPr>
          <w:rFonts w:hint="default" w:ascii="Times New Roman" w:hAnsi="Times New Roman" w:eastAsia="方正仿宋_GBK" w:cs="Times New Roman"/>
        </w:rPr>
        <w:t>谁举办、谁负责</w:t>
      </w:r>
      <w:r>
        <w:rPr>
          <w:rFonts w:hint="eastAsia" w:ascii="Times New Roman" w:hAnsi="Times New Roman" w:eastAsia="方正仿宋_GBK" w:cs="Times New Roman"/>
          <w:lang w:eastAsia="zh-CN"/>
        </w:rPr>
        <w:t>”</w:t>
      </w:r>
      <w:r>
        <w:rPr>
          <w:rFonts w:hint="default" w:ascii="Times New Roman" w:hAnsi="Times New Roman" w:eastAsia="方正仿宋_GBK" w:cs="Times New Roman"/>
        </w:rPr>
        <w:t>的原则，制定疫情防控方案，落实查</w:t>
      </w:r>
      <w:r>
        <w:rPr>
          <w:rFonts w:hint="eastAsia" w:ascii="Times New Roman" w:hAnsi="Times New Roman" w:eastAsia="方正仿宋_GBK" w:cs="Times New Roman"/>
          <w:lang w:eastAsia="zh-CN"/>
        </w:rPr>
        <w:t>“</w:t>
      </w:r>
      <w:r>
        <w:rPr>
          <w:rFonts w:hint="default" w:ascii="Times New Roman" w:hAnsi="Times New Roman" w:eastAsia="方正仿宋_GBK" w:cs="Times New Roman"/>
        </w:rPr>
        <w:t>两码</w:t>
      </w:r>
      <w:r>
        <w:rPr>
          <w:rFonts w:hint="eastAsia" w:ascii="Times New Roman" w:hAnsi="Times New Roman" w:eastAsia="方正仿宋_GBK" w:cs="Times New Roman"/>
          <w:lang w:eastAsia="zh-CN"/>
        </w:rPr>
        <w:t>”</w:t>
      </w:r>
      <w:r>
        <w:rPr>
          <w:rFonts w:hint="default" w:ascii="Times New Roman" w:hAnsi="Times New Roman" w:eastAsia="方正仿宋_GBK" w:cs="Times New Roman"/>
        </w:rPr>
        <w:t>、戴口罩、测体温、一米间距等防疫措施。有重点地区旅居史的市外人员，原则上劝其不参加。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重点人群常态化核酸检测要求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sz w:val="32"/>
          <w:szCs w:val="22"/>
        </w:rPr>
        <w:t>严格落实行业主管部门对生产车间重点人群的常态化核酸要求。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明确生产车间重点人群范围。本规范所指的生产车间重点人群是指：凡在同一时间容纳在同一封闭空间50人以上从事生产加工的生产车间内的人员；以及本企业从事防疫工作、卫生保洁、门岗保安等重要涉疫岗位人员。各区县（自治县）、开发区经信主管部门可以结合本地和企业实际情况，合理调整本条所涉及的生产车间重点人群范围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常态化核酸要求频次。常态化下重点人群核酸检测频次为7天</w:t>
      </w:r>
      <w:r>
        <w:rPr>
          <w:rFonts w:hint="default" w:ascii="Times New Roman" w:hAnsi="Times New Roman" w:eastAsia="方正仿宋_GBK" w:cs="Times New Roman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</w:rPr>
        <w:t>检。对属地政府、属地疫情防控工作领导小组（指挥部）另有常态化核酸检测要求的，按照频次高的要求执行。</w:t>
      </w:r>
    </w:p>
    <w:p>
      <w:pPr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22"/>
        </w:rPr>
      </w:pPr>
      <w:r>
        <w:rPr>
          <w:rFonts w:hint="default" w:ascii="Times New Roman" w:hAnsi="Times New Roman" w:eastAsia="方正仿宋_GBK" w:cs="Times New Roman"/>
          <w:sz w:val="32"/>
          <w:szCs w:val="22"/>
        </w:rPr>
        <w:t>对辖区内出现1例病例的，按照《新型冠状病毒肺炎防控方案（第九版）》及重庆市新冠肺炎疫情常态化监测预警工作实施方案（第五版）（修订版）要求和属地疫情防控工作领导小组（指挥部）要求执行。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建立重点人群台账。企业要建立重点人群常态化核酸检测台账，并报辖区经信主管部门；重点人群有更新的，及时报送辖区经信主管部门。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认真落实本企业重点人群常态化核酸检测，检测情况核实记录在册，对未检测人员，要督促其完成检测。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疫情处置要求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企业出现病例的，要第一时间报所在社区（村）、属地疫情防控工作领导小组（指挥部）和经信主管部门，激活企业应急预案；严格落实属地疫情防控工作领导小组（指挥部）要求，配合做好流调溯源工作。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企业出现病例密接人员、次密接人员的，按照属地疫情防控工作领导小组（指挥部）要求，落实各项措施，配合做好流调溯源工作。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企业按要求停产封闭厂区的，要确保各项安全措施落实到位，有序做好停产封闭工作，按照属地疫情防控工作领导小组（指挥部）要求配合做好滞留人员的安置工作。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在完成属地疫情防控工作领导小组（指挥部）处置要求，达到复工复产要求的，按属地要求报审，并报当地经信主管部门备案后，有序复工复产，并继续按照本规范要求，做好疫情防控工作。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督导检查要求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建立垂直指挥体系。按照管行业必须管疫情防控的要求，建立市、区县经信部门两级指挥体系，加强统筹协调，调配各类资源。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市经济信息委结合</w:t>
      </w:r>
      <w:r>
        <w:rPr>
          <w:rFonts w:hint="eastAsia" w:ascii="Times New Roman" w:hAnsi="Times New Roman" w:eastAsia="方正仿宋_GBK" w:cs="Times New Roman"/>
          <w:lang w:eastAsia="zh-CN"/>
        </w:rPr>
        <w:t>“</w:t>
      </w:r>
      <w:r>
        <w:rPr>
          <w:rFonts w:hint="default" w:ascii="Times New Roman" w:hAnsi="Times New Roman" w:eastAsia="方正仿宋_GBK" w:cs="Times New Roman"/>
        </w:rPr>
        <w:t>三服务</w:t>
      </w:r>
      <w:r>
        <w:rPr>
          <w:rFonts w:hint="eastAsia" w:ascii="Times New Roman" w:hAnsi="Times New Roman" w:eastAsia="方正仿宋_GBK" w:cs="Times New Roman"/>
          <w:lang w:eastAsia="zh-CN"/>
        </w:rPr>
        <w:t>”</w:t>
      </w:r>
      <w:r>
        <w:rPr>
          <w:rFonts w:hint="default" w:ascii="Times New Roman" w:hAnsi="Times New Roman" w:eastAsia="方正仿宋_GBK" w:cs="Times New Roman"/>
        </w:rPr>
        <w:t>工作，建立机关各处室对区县的</w:t>
      </w:r>
      <w:r>
        <w:rPr>
          <w:rFonts w:hint="eastAsia" w:ascii="Times New Roman" w:hAnsi="Times New Roman" w:eastAsia="方正仿宋_GBK" w:cs="Times New Roman"/>
          <w:lang w:eastAsia="zh-CN"/>
        </w:rPr>
        <w:t>“</w:t>
      </w:r>
      <w:r>
        <w:rPr>
          <w:rFonts w:hint="default" w:ascii="Times New Roman" w:hAnsi="Times New Roman" w:eastAsia="方正仿宋_GBK" w:cs="Times New Roman"/>
        </w:rPr>
        <w:t>一对一</w:t>
      </w:r>
      <w:r>
        <w:rPr>
          <w:rFonts w:hint="eastAsia" w:ascii="Times New Roman" w:hAnsi="Times New Roman" w:eastAsia="方正仿宋_GBK" w:cs="Times New Roman"/>
          <w:lang w:eastAsia="zh-CN"/>
        </w:rPr>
        <w:t>”</w:t>
      </w:r>
      <w:r>
        <w:rPr>
          <w:rFonts w:hint="default" w:ascii="Times New Roman" w:hAnsi="Times New Roman" w:eastAsia="方正仿宋_GBK" w:cs="Times New Roman"/>
        </w:rPr>
        <w:t>督导检查机制，各处室要赴区县开展企业防疫工作检查；企业出现疫情的区县，要立即掌握情况，查漏补缺，帮助企业在做好疫情防控的条件下，尽快恢复生产经营。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区县经信部门要建立工作台账，加强对辖区工业企业疫情防控工作的检查，指导企业严格落实疫情防控措施，及时报送常态化核酸检测重点人群信息。各区县经信主管部门定期梳理本区县工业企业有关情况，精准掌握企业重点人群底数，按要求及时报送本地区生产车间重点人群信息。</w:t>
      </w:r>
    </w:p>
    <w:p>
      <w:pPr>
        <w:pStyle w:val="3"/>
        <w:keepNext w:val="0"/>
        <w:keepLines w:val="0"/>
        <w:pageBreakBefore w:val="0"/>
        <w:wordWrap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建立通报督导机制。定期通报各区县经信主管部门防疫工作完成情况，对工作落实不力，予以通报批评；导致疫情传播扩散的，要严肃追责问责。</w:t>
      </w:r>
    </w:p>
    <w:p>
      <w:pPr>
        <w:pStyle w:val="5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pStyle w:val="4"/>
        <w:spacing w:after="0" w:line="420" w:lineRule="exact"/>
      </w:pPr>
    </w:p>
    <w:p>
      <w:pPr>
        <w:pStyle w:val="4"/>
        <w:pBdr>
          <w:top w:val="single" w:color="auto" w:sz="6" w:space="1"/>
          <w:bottom w:val="single" w:color="auto" w:sz="6" w:space="1"/>
        </w:pBdr>
        <w:spacing w:after="0" w:line="580" w:lineRule="exact"/>
        <w:ind w:firstLine="280" w:firstLineChars="100"/>
        <w:rPr>
          <w:rFonts w:hint="default"/>
        </w:rPr>
      </w:pPr>
      <w:r>
        <w:rPr>
          <w:rFonts w:eastAsia="方正仿宋_GBK"/>
          <w:sz w:val="28"/>
          <w:szCs w:val="28"/>
        </w:rPr>
        <w:t>忠县</w:t>
      </w:r>
      <w:r>
        <w:rPr>
          <w:rFonts w:hint="eastAsia" w:eastAsia="方正仿宋_GBK"/>
          <w:sz w:val="28"/>
          <w:szCs w:val="28"/>
        </w:rPr>
        <w:t xml:space="preserve">经济和信息化委员会办公室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     </w:t>
      </w:r>
      <w:r>
        <w:rPr>
          <w:rFonts w:hint="eastAsia" w:eastAsia="方正仿宋_GBK"/>
          <w:sz w:val="28"/>
          <w:szCs w:val="28"/>
        </w:rPr>
        <w:t xml:space="preserve">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eastAsia="方正仿宋_GBK"/>
          <w:sz w:val="28"/>
          <w:szCs w:val="28"/>
        </w:rPr>
        <w:t xml:space="preserve"> 20</w:t>
      </w:r>
      <w:r>
        <w:rPr>
          <w:rFonts w:hint="eastAsia" w:eastAsia="方正仿宋_GBK"/>
          <w:sz w:val="28"/>
          <w:szCs w:val="28"/>
          <w:lang w:val="en-US" w:eastAsia="zh-CN"/>
        </w:rPr>
        <w:t>22</w:t>
      </w:r>
      <w:r>
        <w:rPr>
          <w:rFonts w:hint="eastAsia"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  <w:lang w:val="en-US" w:eastAsia="zh-CN"/>
        </w:rPr>
        <w:t>10</w:t>
      </w:r>
      <w:r>
        <w:rPr>
          <w:rFonts w:hint="eastAsia"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28</w:t>
      </w:r>
      <w:r>
        <w:rPr>
          <w:rFonts w:hint="eastAsia" w:eastAsia="方正仿宋_GBK"/>
          <w:sz w:val="28"/>
          <w:szCs w:val="28"/>
        </w:rPr>
        <w:t>日印发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right"/>
      <w:rPr>
        <w:rFonts w:ascii="Times New Roman" w:hAnsi="Times New Roman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wordWrap w:val="0"/>
                            <w:jc w:val="right"/>
                          </w:pP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wordWrap w:val="0"/>
                      <w:jc w:val="right"/>
                    </w:pP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 w:eastAsia="方正仿宋_GBK"/>
        <w:sz w:val="28"/>
        <w:szCs w:val="28"/>
      </w:rPr>
    </w:pPr>
    <w:r>
      <w:rPr>
        <w:rFonts w:ascii="Times New Roman" w:hAnsi="Times New Roman" w:eastAsia="方正仿宋_GBK"/>
        <w:sz w:val="28"/>
        <w:szCs w:val="28"/>
      </w:rPr>
      <w:t xml:space="preserve">— </w:t>
    </w:r>
    <w:r>
      <w:rPr>
        <w:rFonts w:ascii="Times New Roman" w:hAnsi="Times New Roman" w:eastAsia="方正仿宋_GBK"/>
        <w:sz w:val="28"/>
        <w:szCs w:val="28"/>
      </w:rPr>
      <w:fldChar w:fldCharType="begin"/>
    </w:r>
    <w:r>
      <w:rPr>
        <w:rFonts w:ascii="Times New Roman" w:hAnsi="Times New Roman" w:eastAsia="方正仿宋_GBK"/>
        <w:sz w:val="28"/>
        <w:szCs w:val="28"/>
      </w:rPr>
      <w:instrText xml:space="preserve"> PAGE   \* MERGEFORMAT </w:instrText>
    </w:r>
    <w:r>
      <w:rPr>
        <w:rFonts w:ascii="Times New Roman" w:hAnsi="Times New Roman" w:eastAsia="方正仿宋_GBK"/>
        <w:sz w:val="28"/>
        <w:szCs w:val="28"/>
      </w:rPr>
      <w:fldChar w:fldCharType="separate"/>
    </w:r>
    <w:r>
      <w:rPr>
        <w:rFonts w:ascii="Times New Roman" w:hAnsi="Times New Roman" w:eastAsia="方正仿宋_GBK"/>
        <w:sz w:val="28"/>
        <w:szCs w:val="28"/>
        <w:lang w:val="zh-CN"/>
      </w:rPr>
      <w:t>2</w:t>
    </w:r>
    <w:r>
      <w:rPr>
        <w:rFonts w:ascii="Times New Roman" w:hAnsi="Times New Roman" w:eastAsia="方正仿宋_GBK"/>
        <w:sz w:val="28"/>
        <w:szCs w:val="28"/>
      </w:rPr>
      <w:fldChar w:fldCharType="end"/>
    </w:r>
    <w:r>
      <w:rPr>
        <w:rFonts w:ascii="Times New Roman" w:hAnsi="Times New Roman" w:eastAsia="方正仿宋_GBK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hint="default"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B1E89"/>
    <w:multiLevelType w:val="multilevel"/>
    <w:tmpl w:val="291B1E89"/>
    <w:lvl w:ilvl="0" w:tentative="0">
      <w:start w:val="1"/>
      <w:numFmt w:val="chineseCountingThousand"/>
      <w:suff w:val="nothing"/>
      <w:lvlText w:val="%1、"/>
      <w:lvlJc w:val="left"/>
      <w:pPr>
        <w:ind w:left="0" w:firstLine="62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411E9E"/>
    <w:multiLevelType w:val="multilevel"/>
    <w:tmpl w:val="71411E9E"/>
    <w:lvl w:ilvl="0" w:tentative="0">
      <w:start w:val="1"/>
      <w:numFmt w:val="chineseCountingThousand"/>
      <w:pStyle w:val="3"/>
      <w:suff w:val="nothing"/>
      <w:lvlText w:val="（%1）"/>
      <w:lvlJc w:val="left"/>
      <w:pPr>
        <w:ind w:left="0" w:firstLine="629"/>
      </w:pPr>
      <w:rPr>
        <w:rFonts w:hint="eastAsia" w:ascii="方正楷体_GBK" w:hAnsi="方正楷体_GBK" w:eastAsia="方正楷体_GBK" w:cs="方正楷体_GBK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153AC"/>
    <w:rsid w:val="021153AC"/>
    <w:rsid w:val="039556B8"/>
    <w:rsid w:val="0EF94F0D"/>
    <w:rsid w:val="1E6C1E29"/>
    <w:rsid w:val="3AD31F9D"/>
    <w:rsid w:val="3C843552"/>
    <w:rsid w:val="455D19CD"/>
    <w:rsid w:val="4F5F227F"/>
    <w:rsid w:val="5CC44365"/>
    <w:rsid w:val="72200284"/>
    <w:rsid w:val="73C0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unhideWhenUsed/>
    <w:qFormat/>
    <w:uiPriority w:val="9"/>
    <w:pPr>
      <w:widowControl w:val="0"/>
      <w:numPr>
        <w:ilvl w:val="0"/>
        <w:numId w:val="1"/>
      </w:numPr>
      <w:spacing w:line="560" w:lineRule="exact"/>
      <w:ind w:firstLine="0" w:firstLineChars="0"/>
      <w:outlineLvl w:val="1"/>
    </w:pPr>
    <w:rPr>
      <w:rFonts w:ascii="方正楷体_GBK" w:hAnsi="Calibri" w:eastAsia="方正楷体_GBK" w:cs="Times New Roman"/>
      <w:bCs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99"/>
    <w:pPr>
      <w:spacing w:after="120"/>
    </w:pPr>
    <w:rPr>
      <w:rFonts w:ascii="Times New Roman" w:hAnsi="Times New Roman"/>
    </w:rPr>
  </w:style>
  <w:style w:type="paragraph" w:styleId="5">
    <w:name w:val="index 7"/>
    <w:basedOn w:val="1"/>
    <w:next w:val="1"/>
    <w:qFormat/>
    <w:uiPriority w:val="99"/>
    <w:pPr>
      <w:ind w:left="2520"/>
    </w:pPr>
  </w:style>
  <w:style w:type="paragraph" w:styleId="6">
    <w:name w:val="Plain Text"/>
    <w:basedOn w:val="1"/>
    <w:qFormat/>
    <w:uiPriority w:val="99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560" w:lineRule="exact"/>
      <w:ind w:firstLine="200" w:firstLineChars="200"/>
      <w:jc w:val="center"/>
    </w:pPr>
    <w:rPr>
      <w:rFonts w:ascii="Calibri" w:hAnsi="Calibri" w:eastAsia="方正仿宋_GBK" w:cs="Times New Roman"/>
      <w:kern w:val="2"/>
      <w:sz w:val="18"/>
      <w:szCs w:val="18"/>
      <w:lang w:val="en-US" w:eastAsia="zh-CN" w:bidi="ar-SA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qFormat/>
    <w:uiPriority w:val="34"/>
    <w:pPr>
      <w:widowControl w:val="0"/>
      <w:spacing w:line="560" w:lineRule="exact"/>
      <w:ind w:firstLine="420" w:firstLineChars="200"/>
    </w:pPr>
    <w:rPr>
      <w:rFonts w:ascii="Calibri" w:hAnsi="Calibri" w:eastAsia="方正仿宋_GBK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2022-06-24T02:00:00Z</dcterms:created>
  <dc:creator>微尘1382857406</dc:creator>
  <cp:lastModifiedBy>Administrator</cp:lastModifiedBy>
  <cp:lastPrinted>2022-10-28T02:59:00Z</cp:lastPrinted>
  <dcterms:modified xsi:type="dcterms:W3CDTF">2022-10-28T08:17:31Z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